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701" w:type="dxa"/>
        <w:tblCellMar>
          <w:left w:w="0" w:type="dxa"/>
          <w:right w:w="0" w:type="dxa"/>
        </w:tblCellMar>
        <w:tblLook w:val="04A0"/>
      </w:tblPr>
      <w:tblGrid>
        <w:gridCol w:w="7395"/>
        <w:gridCol w:w="306"/>
      </w:tblGrid>
      <w:tr w:rsidR="00B16B04" w:rsidRPr="00B16B04" w:rsidTr="00B16B04">
        <w:trPr>
          <w:trHeight w:val="376"/>
        </w:trPr>
        <w:tc>
          <w:tcPr>
            <w:tcW w:w="5000" w:type="pct"/>
            <w:tcMar>
              <w:top w:w="0" w:type="dxa"/>
              <w:left w:w="0" w:type="dxa"/>
              <w:bottom w:w="0" w:type="dxa"/>
              <w:right w:w="63" w:type="dxa"/>
            </w:tcMar>
            <w:vAlign w:val="center"/>
            <w:hideMark/>
          </w:tcPr>
          <w:p w:rsidR="00B16B04" w:rsidRPr="00B16B04" w:rsidRDefault="00B16B04" w:rsidP="00B16B04">
            <w:pPr>
              <w:spacing w:after="0" w:line="213" w:lineRule="atLeast"/>
              <w:rPr>
                <w:rFonts w:ascii="Times New Roman" w:eastAsia="Times New Roman" w:hAnsi="Times New Roman" w:cs="Times New Roman"/>
                <w:b/>
                <w:bCs/>
                <w:color w:val="336699"/>
                <w:sz w:val="15"/>
                <w:szCs w:val="15"/>
              </w:rPr>
            </w:pPr>
            <w:hyperlink r:id="rId4" w:history="1">
              <w:r w:rsidRPr="00B16B04">
                <w:rPr>
                  <w:rFonts w:ascii="Tahoma" w:eastAsia="Times New Roman" w:hAnsi="Tahoma" w:cs="Tahoma"/>
                  <w:b/>
                  <w:bCs/>
                  <w:color w:val="666633"/>
                  <w:sz w:val="15"/>
                </w:rPr>
                <w:t>Văn hóa và phong tục tập quán một số nước</w:t>
              </w:r>
            </w:hyperlink>
          </w:p>
        </w:tc>
        <w:tc>
          <w:tcPr>
            <w:tcW w:w="5000" w:type="pct"/>
            <w:tcMar>
              <w:top w:w="0" w:type="dxa"/>
              <w:left w:w="0" w:type="dxa"/>
              <w:bottom w:w="0" w:type="dxa"/>
              <w:right w:w="63" w:type="dxa"/>
            </w:tcMar>
            <w:vAlign w:val="center"/>
            <w:hideMark/>
          </w:tcPr>
          <w:p w:rsidR="00B16B04" w:rsidRPr="00B16B04" w:rsidRDefault="00B16B04" w:rsidP="00B16B04">
            <w:pPr>
              <w:spacing w:after="0" w:line="213" w:lineRule="atLeast"/>
              <w:rPr>
                <w:rFonts w:ascii="Times New Roman" w:eastAsia="Times New Roman" w:hAnsi="Times New Roman" w:cs="Times New Roman"/>
                <w:sz w:val="15"/>
                <w:szCs w:val="15"/>
              </w:rPr>
            </w:pPr>
            <w:r>
              <w:rPr>
                <w:rFonts w:ascii="Times New Roman" w:eastAsia="Times New Roman" w:hAnsi="Times New Roman" w:cs="Times New Roman"/>
                <w:noProof/>
                <w:color w:val="666633"/>
                <w:sz w:val="15"/>
                <w:szCs w:val="15"/>
              </w:rPr>
              <w:drawing>
                <wp:inline distT="0" distB="0" distL="0" distR="0">
                  <wp:extent cx="135255" cy="135255"/>
                  <wp:effectExtent l="19050" t="0" r="0" b="0"/>
                  <wp:docPr id="1" name="Picture 1" descr="In">
                    <a:hlinkClick xmlns:a="http://schemas.openxmlformats.org/drawingml/2006/main" r:id="rId5" tooltip="&quot;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
                            <a:hlinkClick r:id="rId5" tooltip="&quot;In&quot;"/>
                          </pic:cNvPr>
                          <pic:cNvPicPr>
                            <a:picLocks noChangeAspect="1" noChangeArrowheads="1"/>
                          </pic:cNvPicPr>
                        </pic:nvPicPr>
                        <pic:blipFill>
                          <a:blip r:embed="rId6"/>
                          <a:srcRect/>
                          <a:stretch>
                            <a:fillRect/>
                          </a:stretch>
                        </pic:blipFill>
                        <pic:spPr bwMode="auto">
                          <a:xfrm>
                            <a:off x="0" y="0"/>
                            <a:ext cx="135255" cy="135255"/>
                          </a:xfrm>
                          <a:prstGeom prst="rect">
                            <a:avLst/>
                          </a:prstGeom>
                          <a:noFill/>
                          <a:ln w="9525">
                            <a:noFill/>
                            <a:miter lim="800000"/>
                            <a:headEnd/>
                            <a:tailEnd/>
                          </a:ln>
                        </pic:spPr>
                      </pic:pic>
                    </a:graphicData>
                  </a:graphic>
                </wp:inline>
              </w:drawing>
            </w:r>
          </w:p>
        </w:tc>
      </w:tr>
    </w:tbl>
    <w:p w:rsidR="00B16B04" w:rsidRPr="00B16B04" w:rsidRDefault="00B16B04" w:rsidP="00B16B04">
      <w:pPr>
        <w:spacing w:after="0" w:line="240" w:lineRule="auto"/>
        <w:rPr>
          <w:rFonts w:ascii="Times New Roman" w:eastAsia="Times New Roman" w:hAnsi="Times New Roman" w:cs="Times New Roman"/>
          <w:vanish/>
          <w:sz w:val="24"/>
          <w:szCs w:val="24"/>
        </w:rPr>
      </w:pPr>
    </w:p>
    <w:tbl>
      <w:tblPr>
        <w:tblW w:w="7701" w:type="dxa"/>
        <w:tblCellMar>
          <w:left w:w="0" w:type="dxa"/>
          <w:right w:w="0" w:type="dxa"/>
        </w:tblCellMar>
        <w:tblLook w:val="04A0"/>
      </w:tblPr>
      <w:tblGrid>
        <w:gridCol w:w="7701"/>
      </w:tblGrid>
      <w:tr w:rsidR="00B16B04" w:rsidRPr="00B16B04" w:rsidTr="00B16B04">
        <w:trPr>
          <w:trHeight w:val="188"/>
        </w:trPr>
        <w:tc>
          <w:tcPr>
            <w:tcW w:w="0" w:type="auto"/>
            <w:tcMar>
              <w:top w:w="0" w:type="dxa"/>
              <w:left w:w="0" w:type="dxa"/>
              <w:bottom w:w="125" w:type="dxa"/>
              <w:right w:w="63" w:type="dxa"/>
            </w:tcMar>
            <w:hideMark/>
          </w:tcPr>
          <w:p w:rsidR="00B16B04" w:rsidRPr="00B16B04" w:rsidRDefault="00B16B04" w:rsidP="00B16B04">
            <w:pPr>
              <w:spacing w:after="0" w:line="213" w:lineRule="atLeast"/>
              <w:rPr>
                <w:rFonts w:ascii="Times New Roman" w:eastAsia="Times New Roman" w:hAnsi="Times New Roman" w:cs="Times New Roman"/>
                <w:color w:val="999999"/>
                <w:sz w:val="14"/>
                <w:szCs w:val="14"/>
              </w:rPr>
            </w:pPr>
            <w:r w:rsidRPr="00B16B04">
              <w:rPr>
                <w:rFonts w:ascii="Times New Roman" w:eastAsia="Times New Roman" w:hAnsi="Times New Roman" w:cs="Times New Roman"/>
                <w:color w:val="999999"/>
                <w:sz w:val="14"/>
                <w:szCs w:val="14"/>
              </w:rPr>
              <w:t>Thứ sáu, 08 Tháng 5 2009 00:00</w:t>
            </w:r>
          </w:p>
        </w:tc>
      </w:tr>
      <w:tr w:rsidR="00B16B04" w:rsidRPr="00B16B04" w:rsidTr="00B16B04">
        <w:tc>
          <w:tcPr>
            <w:tcW w:w="0" w:type="auto"/>
            <w:tcMar>
              <w:top w:w="0" w:type="dxa"/>
              <w:left w:w="0" w:type="dxa"/>
              <w:bottom w:w="0" w:type="dxa"/>
              <w:right w:w="63" w:type="dxa"/>
            </w:tcMar>
            <w:hideMark/>
          </w:tcPr>
          <w:p w:rsidR="00B16B04" w:rsidRPr="00B16B04" w:rsidRDefault="00B16B04" w:rsidP="00B16B04">
            <w:pPr>
              <w:shd w:val="clear" w:color="auto" w:fill="FDFCFB"/>
              <w:spacing w:after="0" w:line="213" w:lineRule="atLeast"/>
              <w:jc w:val="both"/>
              <w:rPr>
                <w:rFonts w:ascii="Arial" w:eastAsia="Times New Roman" w:hAnsi="Arial" w:cs="Arial"/>
                <w:color w:val="000000"/>
                <w:sz w:val="15"/>
                <w:szCs w:val="15"/>
              </w:rPr>
            </w:pPr>
            <w:r w:rsidRPr="00B16B04">
              <w:rPr>
                <w:rFonts w:ascii="Arial" w:eastAsia="Times New Roman" w:hAnsi="Arial" w:cs="Arial"/>
                <w:color w:val="000000"/>
                <w:sz w:val="15"/>
                <w:szCs w:val="15"/>
              </w:rPr>
              <w:t>Để những chuyến giao dịch kinh doanh ở nước ngoài thành công, người kinh doanh cần tìm hiểu về lịch sử, văn hóa và phong tục tập quán của những nước sẽ lui tới. Sự linh hoạt và thích ứng văn hóa chính là những nguyên tắc mang tính định hướng cho những chuyến đi vì mục tiêu kinh doanh. Phương pháp và cách thức kinh doanh, phong tục tôn giáo, chế độ ăn uống, sự hài hước và y phục bề ngoài có sự khác biệt lớn giữa các quốc gia. Một số yếu tố cần cân nhắc dưới đây:</w:t>
            </w:r>
            <w:r w:rsidRPr="00B16B04">
              <w:rPr>
                <w:rFonts w:ascii="Arial" w:eastAsia="Times New Roman" w:hAnsi="Arial" w:cs="Arial"/>
                <w:color w:val="000000"/>
                <w:sz w:val="15"/>
              </w:rPr>
              <w:t> </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 Không bao giờ chạm vào đầu hoặc ném vật gì qua đầu của người Thái, cái đầu được coi là rất linh thiêng ở cộng đồng người Thái Lan.</w:t>
            </w:r>
            <w:r w:rsidRPr="00B16B04">
              <w:rPr>
                <w:rFonts w:ascii="Arial" w:eastAsia="Times New Roman" w:hAnsi="Arial" w:cs="Arial"/>
                <w:color w:val="000000"/>
                <w:sz w:val="15"/>
                <w:szCs w:val="15"/>
              </w:rPr>
              <w:br/>
              <w:t>+ Tránh sử dụng hình tam giác ở Hồng Kông, Triều Tiên và Đài Loan, hình tam giác được cho là hình khối kiêng kỵ ở đây.</w:t>
            </w:r>
            <w:r w:rsidRPr="00B16B04">
              <w:rPr>
                <w:rFonts w:ascii="Arial" w:eastAsia="Times New Roman" w:hAnsi="Arial" w:cs="Arial"/>
                <w:color w:val="000000"/>
                <w:sz w:val="15"/>
                <w:szCs w:val="15"/>
              </w:rPr>
              <w:br/>
              <w:t>+ Số 7 bị coi là con số không may mắn ở Kê-ny-a nhưng lại được coi là may mắn ở Sec-Slovakia và nó có ý nghĩa kỳ diệu ở Bê-nanh. Số 10 là con số không may mắn ở Triều Tiên và số 4 có nghĩa là chết chóc ở Nhật Bản.</w:t>
            </w:r>
            <w:r w:rsidRPr="00B16B04">
              <w:rPr>
                <w:rFonts w:ascii="Arial" w:eastAsia="Times New Roman" w:hAnsi="Arial" w:cs="Arial"/>
                <w:color w:val="000000"/>
                <w:sz w:val="15"/>
                <w:szCs w:val="15"/>
              </w:rPr>
              <w:br/>
              <w:t>+ Màu đỏ là màu có ý nghĩa tích cực ở Đan Mạch nhưng nó lại là biểu tượng của yêu thuật hay sự chết chóc ở các nước Châu Phi.</w:t>
            </w:r>
            <w:r w:rsidRPr="00B16B04">
              <w:rPr>
                <w:rFonts w:ascii="Arial" w:eastAsia="Times New Roman" w:hAnsi="Arial" w:cs="Arial"/>
                <w:color w:val="000000"/>
                <w:sz w:val="15"/>
                <w:szCs w:val="15"/>
              </w:rPr>
              <w:br/>
              <w:t>+ Một cái gật đầu nghĩa là không ở Bun-ga-ri và bắt tay từ phía này sang phía khác có nghĩa là đồng ý/có.</w:t>
            </w:r>
            <w:r w:rsidRPr="00B16B04">
              <w:rPr>
                <w:rFonts w:ascii="Arial" w:eastAsia="Times New Roman" w:hAnsi="Arial" w:cs="Arial"/>
                <w:color w:val="000000"/>
                <w:sz w:val="15"/>
                <w:szCs w:val="15"/>
              </w:rPr>
              <w:br/>
              <w:t>+ Ký hiệu "okay" (đồng ý/tán thành) thường được sử dụng ở Mỹ (ngón cái và ngón trỏ tạo thành một hình tròn và những ngón khác giơ lên, tuy nhiên, ký hiệu này lại có nghĩa là con số không (không tán thành) ở Pháp, và nó lại là biểu tượng về tiền bạc ở Nhật bản và lại có nghĩa là thô tục ở Bờ-ra-din.</w:t>
            </w:r>
            <w:r w:rsidRPr="00B16B04">
              <w:rPr>
                <w:rFonts w:ascii="Arial" w:eastAsia="Times New Roman" w:hAnsi="Arial" w:cs="Arial"/>
                <w:color w:val="000000"/>
                <w:sz w:val="15"/>
                <w:szCs w:val="15"/>
              </w:rPr>
              <w:br/>
              <w:t>+ Người ta thường có hành động như giơ cánh tay với lòng bàn tay ngửa và ngón trỏ ra dấu "lại đây" ở Mỹ và ở một số nước, tuy nhiên, ở một số quốc gia khác nó lại biểu hiện sự thô tục.</w:t>
            </w:r>
            <w:r w:rsidRPr="00B16B04">
              <w:rPr>
                <w:rFonts w:ascii="Arial" w:eastAsia="Times New Roman" w:hAnsi="Arial" w:cs="Arial"/>
                <w:color w:val="000000"/>
                <w:sz w:val="15"/>
                <w:szCs w:val="15"/>
              </w:rPr>
              <w:br/>
              <w:t>+ Ở Ê-ti-ô-pia, liên tục mở và đóng lòng bàn tay úp có nghĩa là "lại đây"</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Hiểu và lưu ý những sự khác biệt về văn hóa là những điều kiện tối quan trọng để tìm kiếm  sự thành công trong những hoạt động thương mại quốc tế và những chuyến đi nước ngoài vì mục tiêu kinh doanh. Thiếu sự hiểu biết sâu sắc về thực tế kinh doanh, tập quán xã hội và nghi thức của một quốc gia có thể làm giảm vị trí của công ty trên thị trường, khó thực hiện được thành công các mục tiêu và cuối cùng là dẫn đến thất bại.</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Một số đặc điểm về văn hóa các nhà kinh doanh nên đặc biệt lưu ý là những khác biệt trong cách thức kinh doanh, thái độ đối với việc phát triển quan hệ kinh doanh, cả thái độ đối với sự đúng giờ giấc, cách đàm phán, phong tục tặng quà, chào hỏi, tầm quan trọng của cử chỉ hành vi, ý nghĩa về màu sắc và con số, và phong tục về tước hiệu.</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Ở một số nước, các nhà kinh doanh thường có kiểu đi trực tiếp vào vấn đề, trong khi ở một số nước khác thì các doanh nhân lại có xu hướng tế nhị. Chẳng hạn như ở Trung Đông, thường bắt đầu bằng những câu chuyện nhỏ trước khi chính thức đi vào chủ đề kinh doanh chính, đây là thực tế mang tính chuẩn mực ở đây.</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Thái độ đối với sự đúng giờ giấc cũng không giống nhau ở các nền văn hóa và nếu không có sự hiểu biết đúng đắn, có thể dẫn tới sự nhầm lẫn và hiểu lầm. Người Ru-ma-ni, Nhật Bản và Đức thường rất đúng giờ trong khi ở nhiều nước La-tinh lại có vể thoải mái về vấn đề thời gian. Người Nhật coi việc đến muộn trong một cuộc họp/giao dịch kinh doanh là bất lịch sự nhưng nó lại được chấp nhận và thậm chí coi là mốt khi đến muộn trong một sự kiện mang tính xã hội. Ở Goa-tê-ma-la, một người có thể đến vào bất cứ lục nào từ sớm 10 phút đến muộn 45 phút trong bữa tiệc trưa.</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Khi các nền văn hóa có sự giao thoa, một số hành vi đơn giản như sự chào hỏi cũng rất dễ xảy ra hiểu lầm. Sự chào hỏi truyền thống thường là cái bắt tay, cái ôm chặt, cọ mũi, một cái hôn, chắp tay trước ngực hay những cử chỉ khác. Thiếu kiến thức về những nghi thức chào hỏi của đất nước có thể dẫn đến những tình huống lúng tùng và bất tiện.</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Người dân trên khắp thế giới sử dụng sự chuyển động của cơ thể và những cử chỉ để đưa ra những thông điệp. Đôi khi cùng một cử chỉ nhưng lại mang những ý nghĩa khác nhau. Hiểu lầm về cử chỉ thường diễn ra trong giao tiếp giữa các nền văn hóa và sự hiểu sai có thể dẫn đến những phức tạp trong kinh doanh và sự bối rối mang tính xã hội.</w:t>
            </w:r>
            <w:r w:rsidRPr="00B16B04">
              <w:rPr>
                <w:rFonts w:ascii="Arial" w:eastAsia="Times New Roman" w:hAnsi="Arial" w:cs="Arial"/>
                <w:color w:val="000000"/>
                <w:sz w:val="15"/>
                <w:szCs w:val="15"/>
              </w:rPr>
              <w:br/>
            </w:r>
            <w:r w:rsidRPr="00B16B04">
              <w:rPr>
                <w:rFonts w:ascii="Arial" w:eastAsia="Times New Roman" w:hAnsi="Arial" w:cs="Arial"/>
                <w:color w:val="000000"/>
                <w:sz w:val="15"/>
                <w:szCs w:val="15"/>
              </w:rPr>
              <w:br/>
              <w:t xml:space="preserve">Việc sử dụng đúng tên và chức danh thường gặp rắc rối trong quan hệ kinh doanh quốc tế. Ở Anh, Pháp và Đan Mạch người ta thường dùng chức danh/tước hiệu trước khi kêu tên gọi. Tên gọi thường hiếm khi sử dụng trong giao dịch kinh doanh ở Đức. Doanh nhân đến thăm viếng nên sử dụng tước hiệu trước họ của mình. Tước hiệu như "Ông Direktor" đôi khi được dùng để nói về vị thế, danh tiếng và cấp bậc. Tuy nhiên, người Thái lại dùng tên gọi và thay vì gọi tên họ đối với các dịp trang trọng và trong văn bản. Ở Bỉ, người ta rất coi trọng khi đưa các tước </w:t>
            </w:r>
            <w:r w:rsidRPr="00B16B04">
              <w:rPr>
                <w:rFonts w:ascii="Arial" w:eastAsia="Times New Roman" w:hAnsi="Arial" w:cs="Arial"/>
                <w:color w:val="000000"/>
                <w:sz w:val="15"/>
                <w:szCs w:val="15"/>
              </w:rPr>
              <w:lastRenderedPageBreak/>
              <w:t>hiệu "Quý Ông" hay "Quý Bà" trong khi ở khu vực nói tiếng Hà Lan, các giao kinh doanh chỉ cần sử dụng thông thường kiểu như "Ông" hoặc "Bà". Nhầm lẫn hai điều này bị coi là sự khiếm nhã lớn.</w:t>
            </w:r>
          </w:p>
          <w:p w:rsidR="00B16B04" w:rsidRPr="00B16B04" w:rsidRDefault="00B16B04" w:rsidP="00B16B04">
            <w:pPr>
              <w:spacing w:after="0" w:line="213" w:lineRule="atLeast"/>
              <w:rPr>
                <w:rFonts w:ascii="Times New Roman" w:eastAsia="Times New Roman" w:hAnsi="Times New Roman" w:cs="Times New Roman"/>
                <w:sz w:val="15"/>
                <w:szCs w:val="15"/>
              </w:rPr>
            </w:pPr>
          </w:p>
        </w:tc>
      </w:tr>
    </w:tbl>
    <w:p w:rsidR="005D5BB2" w:rsidRDefault="005D5BB2"/>
    <w:sectPr w:rsidR="005D5BB2" w:rsidSect="005D5B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B16B04"/>
    <w:rsid w:val="005D5BB2"/>
    <w:rsid w:val="00B16B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B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16B04"/>
    <w:rPr>
      <w:color w:val="0000FF"/>
      <w:u w:val="single"/>
    </w:rPr>
  </w:style>
  <w:style w:type="character" w:customStyle="1" w:styleId="apple-converted-space">
    <w:name w:val="apple-converted-space"/>
    <w:basedOn w:val="DefaultParagraphFont"/>
    <w:rsid w:val="00B16B04"/>
  </w:style>
  <w:style w:type="paragraph" w:styleId="BalloonText">
    <w:name w:val="Balloon Text"/>
    <w:basedOn w:val="Normal"/>
    <w:link w:val="BalloonTextChar"/>
    <w:uiPriority w:val="99"/>
    <w:semiHidden/>
    <w:unhideWhenUsed/>
    <w:rsid w:val="00B16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B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97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www.vietrade.gov.vn/kien-thuc-kinh-doanh/134-vn-hoa-va-phong-tc-tp-quan-mt-s-nc-.html?tmpl=component&amp;print=1&amp;layout=default&amp;page=" TargetMode="External"/><Relationship Id="rId4" Type="http://schemas.openxmlformats.org/officeDocument/2006/relationships/hyperlink" Target="http://www.vietrade.gov.vn/kien-thuc-kinh-doanh/134-vn-hoa-va-phong-tc-tp-quan-mt-s-n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743</Words>
  <Characters>4241</Characters>
  <Application>Microsoft Office Word</Application>
  <DocSecurity>0</DocSecurity>
  <Lines>35</Lines>
  <Paragraphs>9</Paragraphs>
  <ScaleCrop>false</ScaleCrop>
  <Company>284b võ v ngân,thu duc,tphcm</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2014-03-18T07:12:00Z</dcterms:created>
  <dcterms:modified xsi:type="dcterms:W3CDTF">2014-03-18T07:20:00Z</dcterms:modified>
</cp:coreProperties>
</file>